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34" w:rsidRDefault="00845C07" w:rsidP="00845C0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>
        <w:rPr>
          <w:noProof/>
        </w:rPr>
        <w:drawing>
          <wp:inline distT="0" distB="0" distL="0" distR="0" wp14:anchorId="7017B811" wp14:editId="58FD67D3">
            <wp:extent cx="601345" cy="685800"/>
            <wp:effectExtent l="0" t="0" r="8255" b="0"/>
            <wp:docPr id="2" name="Рисунок 2" descr="Emblem of Crime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mblem of Crimea.svg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C5" w:rsidRPr="00D834B7" w:rsidRDefault="001A6AC5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7B34" w:rsidRPr="00D834B7" w:rsidRDefault="009D7B34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АДМИНИСТРАЦИЯ</w:t>
      </w:r>
    </w:p>
    <w:p w:rsidR="009D7B34" w:rsidRPr="00D834B7" w:rsidRDefault="009D7B34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ЖУРАВЛЁВСКОГО СЕЛЬСКОГО ПОСЕЛЕНИЯ</w:t>
      </w:r>
    </w:p>
    <w:p w:rsidR="009D7B34" w:rsidRPr="00D834B7" w:rsidRDefault="009D7B34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СИМФЕРОПОЛЬСКОГО РАЙОНА</w:t>
      </w:r>
    </w:p>
    <w:p w:rsidR="009D7B34" w:rsidRPr="00D834B7" w:rsidRDefault="009D7B34" w:rsidP="001A6A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РЕСПУБЛИКИ КРЫМ</w:t>
      </w:r>
    </w:p>
    <w:p w:rsidR="001A6AC5" w:rsidRPr="00D834B7" w:rsidRDefault="001A6AC5" w:rsidP="001A6A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</w:p>
    <w:p w:rsidR="009D7B34" w:rsidRPr="00D834B7" w:rsidRDefault="009D7B34" w:rsidP="001A6AC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ПОСТАНОВЛЕНИЕ</w:t>
      </w:r>
    </w:p>
    <w:p w:rsidR="00D834B7" w:rsidRPr="00D834B7" w:rsidRDefault="00D834B7" w:rsidP="001A6AC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</w:p>
    <w:p w:rsidR="001A6AC5" w:rsidRPr="00F57264" w:rsidRDefault="00D834B7" w:rsidP="003C56CA">
      <w:pPr>
        <w:shd w:val="clear" w:color="auto" w:fill="FFFFFF"/>
        <w:spacing w:line="288" w:lineRule="atLeast"/>
        <w:ind w:left="-851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от 10.10.2025г.                        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</w:t>
      </w:r>
      <w:r w:rsidR="003C56C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</w:t>
      </w:r>
      <w:proofErr w:type="spellStart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proofErr w:type="gramStart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.Ж</w:t>
      </w:r>
      <w:proofErr w:type="gramEnd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уравлёвка</w:t>
      </w:r>
      <w:proofErr w:type="spellEnd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          </w:t>
      </w:r>
      <w:r w:rsidR="003C56C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№12</w:t>
      </w:r>
      <w:r w:rsidR="00F57264">
        <w:rPr>
          <w:rFonts w:ascii="Times New Roman" w:eastAsia="Times New Roman" w:hAnsi="Times New Roman" w:cs="Times New Roman"/>
          <w:spacing w:val="2"/>
          <w:sz w:val="26"/>
          <w:szCs w:val="26"/>
        </w:rPr>
        <w:t>4</w:t>
      </w:r>
      <w:r w:rsidR="0025123C" w:rsidRPr="00130C0A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                              </w:t>
      </w:r>
    </w:p>
    <w:p w:rsidR="00F57264" w:rsidRPr="00F57264" w:rsidRDefault="00F57264" w:rsidP="003C56CA">
      <w:pPr>
        <w:spacing w:before="100" w:beforeAutospacing="1" w:after="0" w:line="240" w:lineRule="auto"/>
        <w:ind w:left="-851" w:right="3685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F5726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Об утверждении муниципальной программы «Благоустройство территории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Журавлё</w:t>
      </w:r>
      <w:r w:rsidRPr="00F5726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вского сельского поселения Симферопольского района Республики Крым на 202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6</w:t>
      </w:r>
      <w:r w:rsidRPr="00F5726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7 и 2028</w:t>
      </w:r>
      <w:r w:rsidRPr="00F57264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годов»</w:t>
      </w:r>
    </w:p>
    <w:p w:rsidR="00297673" w:rsidRPr="00D834B7" w:rsidRDefault="00297673" w:rsidP="003C56CA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</w:t>
      </w:r>
      <w:r w:rsidR="00890FA7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Федерации»,  Уставом Журавлёвского</w:t>
      </w: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 Симферопольского района Республики Крым</w:t>
      </w:r>
    </w:p>
    <w:p w:rsidR="00297673" w:rsidRDefault="00297673" w:rsidP="003C56CA">
      <w:pPr>
        <w:spacing w:before="100" w:beforeAutospacing="1"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D834B7" w:rsidRPr="00D834B7" w:rsidRDefault="00D834B7" w:rsidP="003C56CA">
      <w:pPr>
        <w:spacing w:before="100" w:beforeAutospacing="1" w:after="0" w:line="240" w:lineRule="auto"/>
        <w:ind w:left="-851" w:firstLine="851"/>
        <w:rPr>
          <w:rFonts w:ascii="Times New Roman" w:eastAsia="Times New Roman" w:hAnsi="Times New Roman" w:cs="Times New Roman"/>
          <w:sz w:val="2"/>
          <w:szCs w:val="26"/>
        </w:rPr>
      </w:pPr>
    </w:p>
    <w:p w:rsidR="00297673" w:rsidRPr="00D834B7" w:rsidRDefault="00297673" w:rsidP="003C56CA">
      <w:pPr>
        <w:spacing w:after="0" w:line="240" w:lineRule="auto"/>
        <w:ind w:left="-851"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Утвердить Муниципальную программу </w:t>
      </w:r>
      <w:r w:rsidR="000D365C" w:rsidRPr="000D365C">
        <w:rPr>
          <w:rFonts w:ascii="Times New Roman" w:eastAsia="Times New Roman" w:hAnsi="Times New Roman" w:cs="Times New Roman"/>
          <w:color w:val="000000"/>
          <w:sz w:val="26"/>
          <w:szCs w:val="26"/>
        </w:rPr>
        <w:t>«Благоустройство территории Журавлёвского сельского поселения Симферопольского района Республики Крым на 2026 год и на плановый период 2027 и 2028 годов»</w:t>
      </w: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Приложением №1. </w:t>
      </w:r>
    </w:p>
    <w:p w:rsidR="00297673" w:rsidRPr="00D834B7" w:rsidRDefault="000D365C" w:rsidP="003C56CA">
      <w:pPr>
        <w:spacing w:after="0" w:line="240" w:lineRule="auto"/>
        <w:ind w:left="-851" w:right="-1"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297673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Настоящее постановление вступает в силу </w:t>
      </w:r>
      <w:r w:rsidR="00870820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с 01.01.202</w:t>
      </w:r>
      <w:r w:rsid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C68CF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</w:t>
      </w:r>
      <w:r w:rsidR="00297673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834B7" w:rsidRDefault="000D365C" w:rsidP="003C56CA">
      <w:pPr>
        <w:spacing w:after="0" w:line="240" w:lineRule="auto"/>
        <w:ind w:left="-851" w:firstLine="851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D834B7" w:rsidRPr="00D834B7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Настоящее постановление подлежит обнародованию на официальной странице муниципального образования Симферопольский район на портале Правительства Республики Крым simfmo.rk.gov.ru в разделе «Муниципальные образования Симферопольского района, </w:t>
      </w:r>
      <w:proofErr w:type="spellStart"/>
      <w:r w:rsidR="00D834B7" w:rsidRPr="00D834B7">
        <w:rPr>
          <w:rFonts w:ascii="Times New Roman" w:eastAsia="Arial Unicode MS" w:hAnsi="Times New Roman" w:cs="Times New Roman"/>
          <w:sz w:val="26"/>
          <w:szCs w:val="26"/>
          <w:lang w:bidi="ru-RU"/>
        </w:rPr>
        <w:t>Журавлёвское</w:t>
      </w:r>
      <w:proofErr w:type="spellEnd"/>
      <w:r w:rsidR="00D834B7" w:rsidRPr="00D834B7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сельское поселение».</w:t>
      </w:r>
    </w:p>
    <w:p w:rsidR="004B4876" w:rsidRPr="00D834B7" w:rsidRDefault="000D365C" w:rsidP="003C56CA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297673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297673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297673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выполнением настоящего постановления оставляю за собой</w:t>
      </w:r>
    </w:p>
    <w:p w:rsidR="009C5CE2" w:rsidRPr="00D834B7" w:rsidRDefault="009C5CE2" w:rsidP="003C56CA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E1C88" w:rsidRPr="00D834B7" w:rsidRDefault="009E1C88" w:rsidP="003C56CA">
      <w:pPr>
        <w:widowControl w:val="0"/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sz w:val="26"/>
          <w:szCs w:val="26"/>
        </w:rPr>
        <w:t>Председатель Журавлёвского</w:t>
      </w:r>
    </w:p>
    <w:p w:rsidR="009E1C88" w:rsidRPr="00D834B7" w:rsidRDefault="009E1C88" w:rsidP="003C56CA">
      <w:pPr>
        <w:widowControl w:val="0"/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834B7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proofErr w:type="gramEnd"/>
      <w:r w:rsidRPr="00D834B7">
        <w:rPr>
          <w:rFonts w:ascii="Times New Roman" w:eastAsia="Times New Roman" w:hAnsi="Times New Roman" w:cs="Times New Roman"/>
          <w:sz w:val="26"/>
          <w:szCs w:val="26"/>
        </w:rPr>
        <w:t xml:space="preserve"> совета-Глава администрации</w:t>
      </w:r>
    </w:p>
    <w:p w:rsidR="009E1C88" w:rsidRPr="00D834B7" w:rsidRDefault="009E1C88" w:rsidP="003C56CA">
      <w:pPr>
        <w:widowControl w:val="0"/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sz w:val="26"/>
          <w:szCs w:val="26"/>
        </w:rPr>
        <w:t>Журавлёвского сельского</w:t>
      </w:r>
      <w:r w:rsid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34B7">
        <w:rPr>
          <w:rFonts w:ascii="Times New Roman" w:eastAsia="Times New Roman" w:hAnsi="Times New Roman" w:cs="Times New Roman"/>
          <w:sz w:val="26"/>
          <w:szCs w:val="26"/>
        </w:rPr>
        <w:t>посе</w:t>
      </w:r>
      <w:r w:rsidR="00D834B7">
        <w:rPr>
          <w:rFonts w:ascii="Times New Roman" w:eastAsia="Times New Roman" w:hAnsi="Times New Roman" w:cs="Times New Roman"/>
          <w:sz w:val="26"/>
          <w:szCs w:val="26"/>
        </w:rPr>
        <w:t xml:space="preserve">ления               </w:t>
      </w:r>
      <w:r w:rsidRPr="00D834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М.В. </w:t>
      </w:r>
      <w:proofErr w:type="spellStart"/>
      <w:r w:rsidRPr="00D834B7">
        <w:rPr>
          <w:rFonts w:ascii="Times New Roman" w:eastAsia="Times New Roman" w:hAnsi="Times New Roman" w:cs="Times New Roman"/>
          <w:sz w:val="26"/>
          <w:szCs w:val="26"/>
        </w:rPr>
        <w:t>Обаринчук</w:t>
      </w:r>
      <w:proofErr w:type="spellEnd"/>
    </w:p>
    <w:p w:rsidR="009C5CE2" w:rsidRPr="00D834B7" w:rsidRDefault="009C5CE2" w:rsidP="009C5C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C5CE2" w:rsidRPr="00D834B7" w:rsidRDefault="009C5CE2" w:rsidP="009C5CE2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1"/>
          <w:sz w:val="26"/>
          <w:szCs w:val="26"/>
        </w:rPr>
      </w:pPr>
    </w:p>
    <w:p w:rsidR="00883123" w:rsidRDefault="00883123" w:rsidP="00D83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365C" w:rsidRDefault="000D365C" w:rsidP="00D83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365C" w:rsidRDefault="000D365C" w:rsidP="00D83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365C" w:rsidRDefault="000D365C" w:rsidP="00D83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D365C" w:rsidRPr="00D834B7" w:rsidRDefault="000D365C" w:rsidP="00D83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6886" w:rsidRPr="00D834B7" w:rsidRDefault="00776886" w:rsidP="00883123">
      <w:pPr>
        <w:spacing w:after="0" w:line="240" w:lineRule="auto"/>
        <w:ind w:left="5652"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83123" w:rsidRPr="00D834B7" w:rsidRDefault="00D834B7" w:rsidP="003C56CA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883123" w:rsidRPr="00D834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к постановлению администрации </w:t>
      </w:r>
      <w:r w:rsidR="0025123C" w:rsidRPr="00D834B7">
        <w:rPr>
          <w:rFonts w:ascii="Times New Roman" w:eastAsia="Times New Roman" w:hAnsi="Times New Roman" w:cs="Times New Roman"/>
          <w:sz w:val="26"/>
          <w:szCs w:val="26"/>
        </w:rPr>
        <w:t xml:space="preserve">  Журавлёвского</w:t>
      </w:r>
      <w:r w:rsidR="00883123" w:rsidRPr="00D834B7">
        <w:rPr>
          <w:rFonts w:ascii="Times New Roman" w:eastAsia="Times New Roman" w:hAnsi="Times New Roman" w:cs="Times New Roman"/>
          <w:sz w:val="26"/>
          <w:szCs w:val="26"/>
        </w:rPr>
        <w:t xml:space="preserve">  сельского поселения                                                           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 xml:space="preserve">т  </w:t>
      </w:r>
      <w:r w:rsidR="00C0256A">
        <w:rPr>
          <w:rFonts w:ascii="Times New Roman" w:eastAsia="Times New Roman" w:hAnsi="Times New Roman" w:cs="Times New Roman"/>
          <w:sz w:val="26"/>
          <w:szCs w:val="26"/>
        </w:rPr>
        <w:t>10.10.2025</w:t>
      </w:r>
      <w:r w:rsidR="00AC68CF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681D" w:rsidRPr="00D834B7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883123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123C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56A">
        <w:rPr>
          <w:rFonts w:ascii="Times New Roman" w:eastAsia="Times New Roman" w:hAnsi="Times New Roman" w:cs="Times New Roman"/>
          <w:sz w:val="26"/>
          <w:szCs w:val="26"/>
        </w:rPr>
        <w:t>12</w:t>
      </w:r>
      <w:r w:rsidR="000D365C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883123" w:rsidRPr="003C56CA" w:rsidRDefault="00883123" w:rsidP="003C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6"/>
        </w:rPr>
      </w:pPr>
    </w:p>
    <w:p w:rsidR="00883123" w:rsidRPr="00D834B7" w:rsidRDefault="000D365C" w:rsidP="003C56C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365C">
        <w:rPr>
          <w:rFonts w:ascii="Times New Roman" w:eastAsia="Times New Roman" w:hAnsi="Times New Roman" w:cs="Times New Roman"/>
          <w:b/>
          <w:sz w:val="26"/>
          <w:szCs w:val="26"/>
        </w:rPr>
        <w:t>ПАСПОРТ</w:t>
      </w:r>
    </w:p>
    <w:p w:rsidR="00883123" w:rsidRDefault="00883123" w:rsidP="003C56C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b/>
          <w:sz w:val="26"/>
          <w:szCs w:val="26"/>
        </w:rPr>
        <w:t>МУНИЦИПАЛЬН</w:t>
      </w:r>
      <w:r w:rsidR="000D365C">
        <w:rPr>
          <w:rFonts w:ascii="Times New Roman" w:eastAsia="Times New Roman" w:hAnsi="Times New Roman" w:cs="Times New Roman"/>
          <w:b/>
          <w:sz w:val="26"/>
          <w:szCs w:val="26"/>
        </w:rPr>
        <w:t>ОЙ ПРОГРАММЫ</w:t>
      </w:r>
      <w:bookmarkStart w:id="0" w:name="_GoBack"/>
      <w:bookmarkEnd w:id="0"/>
    </w:p>
    <w:p w:rsidR="000D365C" w:rsidRPr="00D834B7" w:rsidRDefault="000D365C" w:rsidP="003C56C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34B7" w:rsidRPr="000D365C" w:rsidRDefault="000D365C" w:rsidP="003C56C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D365C">
        <w:rPr>
          <w:rFonts w:ascii="Times New Roman" w:eastAsia="Times New Roman" w:hAnsi="Times New Roman" w:cs="Times New Roman"/>
          <w:b/>
          <w:sz w:val="26"/>
          <w:szCs w:val="26"/>
        </w:rPr>
        <w:t>«Благоустройство территории Журавлёвского сельского поселения Симферопольского района Республики Крым на 2026 год и на плановый период 2027 и 2028 годов»</w:t>
      </w:r>
    </w:p>
    <w:p w:rsidR="000D365C" w:rsidRPr="00D834B7" w:rsidRDefault="000D365C" w:rsidP="00D8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8045"/>
      </w:tblGrid>
      <w:tr w:rsidR="00883123" w:rsidRPr="00D834B7" w:rsidTr="0098023E">
        <w:trPr>
          <w:trHeight w:val="7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D834B7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«Муниципальная программа </w:t>
            </w:r>
            <w:r w:rsidR="000D365C" w:rsidRPr="000D36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«Благоустройство территории Журавлёвского сельского поселения Симферопольского района Республики Крым на 2026 год и на плановый период 2027 и 2028 годов»</w:t>
            </w:r>
          </w:p>
        </w:tc>
      </w:tr>
      <w:tr w:rsidR="000D365C" w:rsidRPr="00D834B7" w:rsidTr="0098023E">
        <w:trPr>
          <w:trHeight w:val="7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Pr="00D834B7" w:rsidRDefault="000D365C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Основания разработки муниципальной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Pr="00D834B7" w:rsidRDefault="000D365C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0D36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Ст.14 Федерального закона Российской Федерации от 06.10.2003 №131 «Об общих принципах организации местного самоуправления в Российской Федерации.</w:t>
            </w:r>
          </w:p>
        </w:tc>
      </w:tr>
      <w:tr w:rsidR="000D365C" w:rsidRPr="00D834B7" w:rsidTr="0098023E">
        <w:trPr>
          <w:trHeight w:val="7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Pr="00D834B7" w:rsidRDefault="000D365C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Pr="00D834B7" w:rsidRDefault="000D365C" w:rsidP="000D3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0D36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Журавлёвско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сельское</w:t>
            </w:r>
            <w:r w:rsidRPr="000D36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е</w:t>
            </w:r>
            <w:r w:rsidRPr="000D36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Симферопольского района Республики Крым</w:t>
            </w:r>
          </w:p>
        </w:tc>
      </w:tr>
      <w:tr w:rsidR="000D365C" w:rsidRPr="00D834B7" w:rsidTr="0098023E">
        <w:trPr>
          <w:trHeight w:val="7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Pr="00D834B7" w:rsidRDefault="000D365C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Разработчик муниципальной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Pr="00D834B7" w:rsidRDefault="000D365C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0D36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Администрация Журавлёвского сельского поселения Симферопольского района Республики Крым</w:t>
            </w:r>
          </w:p>
        </w:tc>
      </w:tr>
      <w:tr w:rsidR="00883123" w:rsidRPr="00D834B7" w:rsidTr="0098023E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130C0A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Журавлёвского</w:t>
            </w:r>
            <w:r w:rsidR="00883123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 Симферопольского района Республики Крым</w:t>
            </w:r>
          </w:p>
        </w:tc>
      </w:tr>
      <w:tr w:rsidR="00883123" w:rsidRPr="00D834B7" w:rsidTr="0098023E">
        <w:trPr>
          <w:trHeight w:val="1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0D365C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Цель</w:t>
            </w:r>
            <w:r w:rsidR="00883123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="00883123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23" w:rsidRPr="00D834B7" w:rsidRDefault="000D365C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Журавлёвского</w:t>
            </w: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 Симферопольского района Республики Крым,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883123" w:rsidRPr="00D834B7" w:rsidTr="0098023E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0D365C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задачи муниципальной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сельского поселения; </w:t>
            </w:r>
          </w:p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Приведение в качественное состояние элементов благоустройства населенных пунктов; </w:t>
            </w:r>
          </w:p>
          <w:p w:rsidR="00883123" w:rsidRPr="00D834B7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Привлечение жителей к участию в решении проблем благоустройства населенных пунктов. </w:t>
            </w:r>
          </w:p>
        </w:tc>
      </w:tr>
      <w:tr w:rsidR="000D365C" w:rsidRPr="00D834B7" w:rsidTr="0098023E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Pr="000D365C" w:rsidRDefault="000D365C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 (индикаторы) муниципальной</w:t>
            </w:r>
            <w:r>
              <w:t xml:space="preserve"> </w:t>
            </w: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- создание условий для улучшения качества жизни населения;</w:t>
            </w:r>
          </w:p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-осуществление обеспечения безопасности жизнедеятельност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и сохранения окружающей среды;</w:t>
            </w:r>
            <w:r>
              <w:t xml:space="preserve"> </w:t>
            </w:r>
          </w:p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озеленение, уборка, и благоустройство мест общего пользования; </w:t>
            </w:r>
          </w:p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- содержание и ремонт памятников, находящихся на территории муниципального образования;</w:t>
            </w:r>
          </w:p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-  содержание уличного освещения сельского поселения;</w:t>
            </w:r>
          </w:p>
          <w:p w:rsid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вывоз несанкционированных свалок; </w:t>
            </w:r>
          </w:p>
          <w:p w:rsidR="000D365C" w:rsidRPr="000D365C" w:rsidRDefault="000D365C" w:rsidP="000D365C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365C">
              <w:rPr>
                <w:rFonts w:ascii="Times New Roman" w:eastAsia="Times New Roman" w:hAnsi="Times New Roman" w:cs="Times New Roman"/>
                <w:sz w:val="26"/>
                <w:szCs w:val="26"/>
              </w:rPr>
              <w:t>- санитарная очистка и уборка территории сельского поселения</w:t>
            </w:r>
          </w:p>
        </w:tc>
      </w:tr>
      <w:tr w:rsidR="00883123" w:rsidRPr="00D834B7" w:rsidTr="0098023E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Сроки реализации </w:t>
            </w:r>
            <w:r w:rsidR="0098023E"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70820" w:rsidP="0098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883123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2028</w:t>
            </w:r>
            <w:r w:rsidR="00AC68CF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98023E" w:rsidRPr="00D834B7" w:rsidTr="0098023E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3E" w:rsidRPr="00D834B7" w:rsidRDefault="0098023E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основных мероприятий муниципальной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3E" w:rsidRPr="00D834B7" w:rsidRDefault="0098023E" w:rsidP="0098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реализацию мероприятий по благоустройству поселения в рамках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ограммного направления расходов</w:t>
            </w:r>
          </w:p>
        </w:tc>
      </w:tr>
      <w:tr w:rsidR="0098023E" w:rsidRPr="00D834B7" w:rsidTr="0098023E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3E" w:rsidRPr="0098023E" w:rsidRDefault="0098023E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 финансирования муниципальной 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3E" w:rsidRPr="0098023E" w:rsidRDefault="0098023E" w:rsidP="00980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Журавлёвского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 Симферопольского райо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Республики Крым</w:t>
            </w:r>
          </w:p>
        </w:tc>
      </w:tr>
      <w:tr w:rsidR="00883123" w:rsidRPr="00D834B7" w:rsidTr="0098023E">
        <w:trPr>
          <w:trHeight w:val="16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98023E"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3E" w:rsidRDefault="0098023E" w:rsidP="0088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 </w:t>
            </w:r>
            <w:r w:rsidR="003C56CA" w:rsidRPr="003C56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7 024 779,00 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рубля, из них: </w:t>
            </w:r>
          </w:p>
          <w:p w:rsidR="0098023E" w:rsidRDefault="0098023E" w:rsidP="0098023E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2025 год- </w:t>
            </w:r>
            <w:r w:rsidR="003C56CA" w:rsidRPr="003C56CA">
              <w:rPr>
                <w:rFonts w:ascii="Times New Roman" w:eastAsia="Times New Roman" w:hAnsi="Times New Roman" w:cs="Times New Roman"/>
                <w:sz w:val="26"/>
                <w:szCs w:val="26"/>
              </w:rPr>
              <w:t>2 260 589,00</w:t>
            </w:r>
            <w:r w:rsidR="003C56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рублей; </w:t>
            </w:r>
          </w:p>
          <w:p w:rsidR="0098023E" w:rsidRDefault="0098023E" w:rsidP="0098023E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2026 год- </w:t>
            </w:r>
            <w:r w:rsidR="003C56CA" w:rsidRPr="003C56CA">
              <w:rPr>
                <w:rFonts w:ascii="Times New Roman" w:eastAsia="Times New Roman" w:hAnsi="Times New Roman" w:cs="Times New Roman"/>
                <w:sz w:val="26"/>
                <w:szCs w:val="26"/>
              </w:rPr>
              <w:t>2 485 162,00</w:t>
            </w:r>
            <w:r w:rsidR="003C56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рублей; </w:t>
            </w:r>
          </w:p>
          <w:p w:rsidR="00883123" w:rsidRPr="00D834B7" w:rsidRDefault="0098023E" w:rsidP="0098023E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2027 год- </w:t>
            </w:r>
            <w:r w:rsidR="003C56CA" w:rsidRPr="003C56CA">
              <w:rPr>
                <w:rFonts w:ascii="Times New Roman" w:eastAsia="Times New Roman" w:hAnsi="Times New Roman" w:cs="Times New Roman"/>
                <w:sz w:val="26"/>
                <w:szCs w:val="26"/>
              </w:rPr>
              <w:t>2 279 028,00</w:t>
            </w:r>
            <w:r w:rsidR="003C56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рублей;</w:t>
            </w:r>
          </w:p>
        </w:tc>
      </w:tr>
      <w:tr w:rsidR="0098023E" w:rsidRPr="00D834B7" w:rsidTr="0098023E">
        <w:trPr>
          <w:trHeight w:val="16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3E" w:rsidRPr="00D834B7" w:rsidRDefault="0098023E" w:rsidP="0098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Ожидаемые и конечные результаты от реализации</w:t>
            </w:r>
            <w:r>
              <w:t xml:space="preserve"> 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3E" w:rsidRDefault="0098023E" w:rsidP="009802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благоустройства территории Журавлёвского сельского поселения Симферопольского района Республики Крым; </w:t>
            </w:r>
          </w:p>
          <w:p w:rsidR="0098023E" w:rsidRDefault="0098023E" w:rsidP="009802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Развитие положительных тенденций в создании благоприятной среды жизнедеятельности; </w:t>
            </w:r>
          </w:p>
          <w:p w:rsidR="0098023E" w:rsidRDefault="0098023E" w:rsidP="009802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степени удовлетворенности населения уровнем благоустройства; </w:t>
            </w:r>
          </w:p>
          <w:p w:rsidR="0098023E" w:rsidRDefault="0098023E" w:rsidP="009802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Улучшение санитарного и экологического состояния населенных пунктов; </w:t>
            </w:r>
          </w:p>
          <w:p w:rsidR="0098023E" w:rsidRDefault="0098023E" w:rsidP="009802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молодого поколения к участию по бла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гоустройству населенных пунктов;</w:t>
            </w:r>
          </w:p>
          <w:p w:rsidR="0098023E" w:rsidRDefault="0098023E" w:rsidP="009802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уличного освещения, обеспечение надежного и высокоэффективного наружного уличного освещения территории Журавлёвского сельского поселения Симфероп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ольского района Республики Крым;</w:t>
            </w:r>
          </w:p>
          <w:p w:rsidR="0098023E" w:rsidRPr="0098023E" w:rsidRDefault="0098023E" w:rsidP="0098023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</w:t>
            </w:r>
            <w:r w:rsidRPr="0098023E">
              <w:rPr>
                <w:rFonts w:ascii="Times New Roman" w:eastAsia="Times New Roman" w:hAnsi="Times New Roman" w:cs="Times New Roman"/>
                <w:sz w:val="26"/>
                <w:szCs w:val="26"/>
              </w:rPr>
              <w:t>лучшение условий проживания граждан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8023E" w:rsidRPr="0098023E" w:rsidRDefault="0098023E" w:rsidP="0098023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</w:pPr>
    </w:p>
    <w:p w:rsidR="0098023E" w:rsidRPr="0098023E" w:rsidRDefault="0098023E" w:rsidP="0098023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Характеристика проблемы.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Решение задач благоустройства населенных пунктов необходимо проводить программно-целевым методом.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Программа разработана на основании Федерального закона от 06.10.2003 № 131-ФЗ «Об общих принципах организации местного самоуправления в Российской Федерации» и конкретизирует целевые критерии развития благоустройства </w:t>
      </w:r>
      <w:r w:rsidR="0050445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Журавлёвского</w:t>
      </w: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сельского поселения Симферопольского района Республики Крым на 202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6</w:t>
      </w: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7</w:t>
      </w: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8 годов. 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Финансово – </w:t>
      </w:r>
      <w:proofErr w:type="gramStart"/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экономические механизмы</w:t>
      </w:r>
      <w:proofErr w:type="gramEnd"/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Программа полностью соответствует приоритетам социально-экономического развития </w:t>
      </w:r>
      <w:r w:rsidR="0050445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Журавлёвского</w:t>
      </w: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сельского поселения Симферопольского района Республики Крым на среднесрочную перспективу. Реализация программы направлена на: - создание условий для улучшения качества жизни населения; - осуществление мероприятий по обеспечению безопасности жизнедеятельности и сохранения окружающей среды.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фасады зданий, создаются несанкционированные свалки мусора.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8023E" w:rsidRP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C77574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8023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98023E" w:rsidRDefault="0098023E" w:rsidP="0098023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>Цели и задачи программы.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50445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Крым, повышению комфортности граждан, озеленению территории поселения, улучшения экологической обстановки на территории сельского поселения, создание комфортной среды проживания на территории </w:t>
      </w:r>
      <w:r w:rsidR="0050445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Крым.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Для достижения цели необходимо решить следующие задачи: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-о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рганизация благоустройства и озеленения территории поселения;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приведение в качественное состояние элементов благоустройства населенных пунктов;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-п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ривлечение жителей к участию в решении проблем благоустройства населенных пунктов; -организации прочих мероприятий по благоустройству поселения, улучшения санитарно-эпидемиологического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lastRenderedPageBreak/>
        <w:t xml:space="preserve">состояния территории; -рациональное и эффективное использование средств местного бюджета; -организация взаимодействия между предприятиями, организациями и учреждениями при решении вопросов благоустройства </w:t>
      </w:r>
      <w:r w:rsidR="0050445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Крым. -содержание уличного освещения, установка на основных улицах </w:t>
      </w:r>
      <w:r w:rsidR="0050445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 светодиодных светильников позволит повысить безопасность дорожного движения. 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расходов, повысить надежность и долговечность работы сетей, улучшить условия проживания граждан 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>Срок реализации Программы и источники финансирования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Реализация Программы рассчитана на 202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6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год и на плановый период 202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7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и 202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8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годов.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Источником финансирования Программы являются средства бюджета </w:t>
      </w:r>
      <w:r w:rsidR="0050445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Крым.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Общий объем финансирования на реализацию Программы составляет </w:t>
      </w:r>
      <w:r w:rsidR="003C56CA" w:rsidRPr="003C56CA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7 024 779,00</w:t>
      </w:r>
      <w:r w:rsidRPr="003C56CA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рубля.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Объемы финансирования Программы по мероприятиям и годам подлежат уточнению при формировании бюджета </w:t>
      </w:r>
      <w:r w:rsidR="0050445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 на соответствующий финансовый год.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Ресурсное обеспечение реализации муниципальной программы </w:t>
      </w:r>
      <w:r w:rsidRPr="00504457"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представлено в приложении </w:t>
      </w:r>
      <w:r w:rsidRPr="0050445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№</w:t>
      </w:r>
      <w:r w:rsidR="00504457" w:rsidRPr="0050445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1</w:t>
      </w:r>
      <w:r w:rsidRPr="0050445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Перечень мероприятий муниципальной программы </w:t>
      </w:r>
    </w:p>
    <w:p w:rsidR="00504457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Мероприятия муниципальной программы являются: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 </w:t>
      </w:r>
    </w:p>
    <w:p w:rsidR="00504457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расходы на реализацию мероприятий по благоустройству поселения в рамках программного направления расходов.  </w:t>
      </w:r>
    </w:p>
    <w:p w:rsidR="0098023E" w:rsidRDefault="0098023E" w:rsidP="0098023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Направления муниципальной программы включают в себя благоустройство общественных территорий, санитарную уборку территории поселения (подбор случайного мусора, уборка урн, покос травы); дезинсекцию и дератизацию мест общего пользования, борьбу с карантинными сорняками, проведение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ларвицидной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акарицидной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обработки территорий общего пользования, содержание детских и спортивных площадок, озеленение общественной территории.</w:t>
      </w:r>
    </w:p>
    <w:p w:rsidR="00504457" w:rsidRDefault="00504457" w:rsidP="0098023E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>Ожидаемые результаты реализации Программы, социально-экономическая эффективность Программы.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В результате выполнения Программы ожидается достижение следующих показателей результативности: 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1. Организация благоустройства и озеленения территории поселения: 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увеличение уровня озеленения территории поселения;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стабилизация количества аварийных зеленых насаждений, подлежащих сносу;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увеличение площади газонов и цветников на объектах зеленого фонда. 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2. Организация прочих направлений по благоустройству поселения: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проведение организационно-хозяйственных мероприятий по сбору и вывозу несанкционированных свалок.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lastRenderedPageBreak/>
        <w:t>экологической безопасности, эстетическими и другими свойствами в целом, улучшающими вид территории поселения.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Реализация мероприятий Программы предполагает достижение следующих результатов: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развитие положительных тенденций в создании благоприятной среды жизнедеятельности;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повышение степени удовлетворенности населения уровнем благоустройства;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улучшение технического состояния отдельных объектов благоустройства;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улучшение санитарного и экологического состояния населенных пунктов поселения;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повышение уровня эстетики поселения;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привлечение молодого поколения к участию по благоустройству населенных пунктов в поселении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.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в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осстановление линий уличного освещения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Крым.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>Организация управления Программой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Реализация Программы осуществляется в соответствии с действующим законодательством, нормативно-правовыми актами администрации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 Симферопольского района Республики Крым, определяющими механизм реализации муниципальных целевых программ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поселения.</w:t>
      </w:r>
    </w:p>
    <w:p w:rsidR="00504457" w:rsidRDefault="00504457" w:rsidP="0050445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Администрация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Журавлёвского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сельского поселения: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осуществляет </w:t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контроль за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 выполнением мероприятий Программы;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Реализация муниципальной целевой программы сельского поселения осуществляется на основе: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 </w:t>
      </w:r>
      <w:r>
        <w:rPr>
          <w:rFonts w:ascii="Symbol" w:eastAsiaTheme="minorHAnsi" w:hAnsi="Symbol" w:cs="Symbol"/>
          <w:color w:val="000000"/>
          <w:sz w:val="26"/>
          <w:szCs w:val="26"/>
          <w:lang w:eastAsia="en-US"/>
        </w:rPr>
        <w:t>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504457">
      <w:pPr>
        <w:spacing w:after="0" w:line="240" w:lineRule="auto"/>
        <w:ind w:left="-709" w:firstLine="709"/>
        <w:jc w:val="both"/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</w:pPr>
    </w:p>
    <w:p w:rsidR="00504457" w:rsidRDefault="00504457" w:rsidP="00F25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</w:p>
    <w:p w:rsidR="00F25C05" w:rsidRDefault="00F25C05" w:rsidP="00504457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sectPr w:rsidR="00F25C05" w:rsidSect="00F25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6CA" w:rsidRPr="003C56CA" w:rsidRDefault="003C56CA" w:rsidP="00F25C05">
      <w:pPr>
        <w:spacing w:after="0" w:line="240" w:lineRule="auto"/>
        <w:ind w:left="9498" w:right="-31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8"/>
          <w:szCs w:val="24"/>
        </w:rPr>
      </w:pPr>
    </w:p>
    <w:p w:rsidR="00504457" w:rsidRPr="00F25C05" w:rsidRDefault="00504457" w:rsidP="00F25C05">
      <w:pPr>
        <w:spacing w:after="0" w:line="240" w:lineRule="auto"/>
        <w:ind w:left="9498" w:right="-31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F25C0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Приложение №1 к муниципальной программе «Благоустройство территории Журавлёвского сельского поселения Симферопольского района Республики Крым на 2026 год и на плановый период 2027 и 2028 годов»</w:t>
      </w:r>
    </w:p>
    <w:p w:rsidR="00504457" w:rsidRPr="003C56CA" w:rsidRDefault="00504457" w:rsidP="00504457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10"/>
          <w:szCs w:val="24"/>
        </w:rPr>
      </w:pPr>
    </w:p>
    <w:p w:rsidR="00504457" w:rsidRPr="00F25C05" w:rsidRDefault="00504457" w:rsidP="00F25C05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F25C05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Ресурсное обеспечение реализации муниципальной программы </w:t>
      </w:r>
      <w:r w:rsidRPr="00F25C05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«</w:t>
      </w:r>
      <w:r w:rsidRPr="00F25C05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Благоустройство территории </w:t>
      </w:r>
      <w:r w:rsidRPr="00F25C05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Журавлёвского</w:t>
      </w:r>
      <w:r w:rsidRPr="00F25C05">
        <w:rPr>
          <w:rFonts w:ascii="Times New Roman CYR" w:eastAsiaTheme="minorHAnsi" w:hAnsi="Times New Roman CYR" w:cs="Times New Roman CYR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Pr="00F25C05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сельского поселения Симферопольского района Республики Крым </w:t>
      </w:r>
      <w:r w:rsidRPr="00F25C05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на 2026 год и на плановый период 2027 и 2028 годов</w:t>
      </w:r>
      <w:r w:rsidRPr="00F25C05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»</w:t>
      </w:r>
    </w:p>
    <w:tbl>
      <w:tblPr>
        <w:tblStyle w:val="aa"/>
        <w:tblW w:w="1584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11"/>
        <w:gridCol w:w="2409"/>
        <w:gridCol w:w="4111"/>
        <w:gridCol w:w="1985"/>
        <w:gridCol w:w="1984"/>
        <w:gridCol w:w="1843"/>
      </w:tblGrid>
      <w:tr w:rsidR="00504457" w:rsidTr="00F25C05">
        <w:tc>
          <w:tcPr>
            <w:tcW w:w="3511" w:type="dxa"/>
            <w:vMerge w:val="restart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09" w:type="dxa"/>
            <w:vMerge w:val="restart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Источник финансирования (наименование источников финансирования)</w:t>
            </w:r>
          </w:p>
        </w:tc>
        <w:tc>
          <w:tcPr>
            <w:tcW w:w="5812" w:type="dxa"/>
            <w:gridSpan w:val="3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Оценка расходов по годам реализаци</w:t>
            </w:r>
            <w:r w:rsid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 муниципальной программы (</w:t>
            </w: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руб.)</w:t>
            </w:r>
          </w:p>
        </w:tc>
      </w:tr>
      <w:tr w:rsidR="00F25C05" w:rsidTr="00F25C05">
        <w:tc>
          <w:tcPr>
            <w:tcW w:w="3511" w:type="dxa"/>
            <w:vMerge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2026 год</w:t>
            </w:r>
          </w:p>
        </w:tc>
        <w:tc>
          <w:tcPr>
            <w:tcW w:w="1984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2027 год</w:t>
            </w:r>
          </w:p>
        </w:tc>
        <w:tc>
          <w:tcPr>
            <w:tcW w:w="1843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2028 год</w:t>
            </w:r>
          </w:p>
        </w:tc>
      </w:tr>
      <w:tr w:rsidR="00F25C05" w:rsidTr="00F25C05">
        <w:tc>
          <w:tcPr>
            <w:tcW w:w="3511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04457" w:rsidRPr="00F25C05" w:rsidRDefault="00504457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</w:t>
            </w:r>
          </w:p>
        </w:tc>
      </w:tr>
      <w:tr w:rsidR="00F25C05" w:rsidTr="00F25C05">
        <w:tc>
          <w:tcPr>
            <w:tcW w:w="3511" w:type="dxa"/>
            <w:vMerge w:val="restart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Муниципальная программа «Благоустройство территории Журавлёвского сельского поселения Симферопольского района Республики Крым на 2026 год и на плановый период 2027 и 2028 годов»</w:t>
            </w:r>
          </w:p>
        </w:tc>
        <w:tc>
          <w:tcPr>
            <w:tcW w:w="2409" w:type="dxa"/>
            <w:vMerge w:val="restart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Администрация Журавлёвского сельского поселения Симферопольского района Республики Крым</w:t>
            </w: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F25C05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2 260 589,00</w:t>
            </w:r>
          </w:p>
        </w:tc>
        <w:tc>
          <w:tcPr>
            <w:tcW w:w="1984" w:type="dxa"/>
          </w:tcPr>
          <w:p w:rsidR="00F25C05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2 485 162,00</w:t>
            </w:r>
          </w:p>
        </w:tc>
        <w:tc>
          <w:tcPr>
            <w:tcW w:w="1843" w:type="dxa"/>
          </w:tcPr>
          <w:p w:rsidR="00F25C05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2 279 028,00</w:t>
            </w: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в </w:t>
            </w:r>
            <w:proofErr w:type="spellStart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т.ч</w:t>
            </w:r>
            <w:proofErr w:type="spellEnd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 по отдельным источникам финансирования:</w:t>
            </w:r>
          </w:p>
        </w:tc>
        <w:tc>
          <w:tcPr>
            <w:tcW w:w="1985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Бюджет Республики Крым</w:t>
            </w:r>
          </w:p>
        </w:tc>
        <w:tc>
          <w:tcPr>
            <w:tcW w:w="1985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</w:tr>
      <w:tr w:rsidR="003C56CA" w:rsidTr="00F25C05">
        <w:tc>
          <w:tcPr>
            <w:tcW w:w="3511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56CA" w:rsidRPr="00F25C05" w:rsidRDefault="003C56CA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Журавлёвское</w:t>
            </w:r>
            <w:proofErr w:type="spellEnd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сельское поселение Симферопольского района Республики Крым</w:t>
            </w:r>
          </w:p>
        </w:tc>
        <w:tc>
          <w:tcPr>
            <w:tcW w:w="1985" w:type="dxa"/>
          </w:tcPr>
          <w:p w:rsidR="003C56CA" w:rsidRPr="00F25C05" w:rsidRDefault="003C56CA" w:rsidP="00955E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2 260 589,00</w:t>
            </w:r>
          </w:p>
        </w:tc>
        <w:tc>
          <w:tcPr>
            <w:tcW w:w="1984" w:type="dxa"/>
          </w:tcPr>
          <w:p w:rsidR="003C56CA" w:rsidRPr="00F25C05" w:rsidRDefault="003C56CA" w:rsidP="00955E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2 485 162,00</w:t>
            </w:r>
          </w:p>
        </w:tc>
        <w:tc>
          <w:tcPr>
            <w:tcW w:w="1843" w:type="dxa"/>
          </w:tcPr>
          <w:p w:rsidR="003C56CA" w:rsidRPr="00F25C05" w:rsidRDefault="003C56CA" w:rsidP="00955E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2 279 028,00</w:t>
            </w: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0,00</w:t>
            </w:r>
          </w:p>
        </w:tc>
      </w:tr>
      <w:tr w:rsidR="00F25C05" w:rsidTr="00F25C05">
        <w:tc>
          <w:tcPr>
            <w:tcW w:w="15843" w:type="dxa"/>
            <w:gridSpan w:val="6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 том числе по мероприятиям:</w:t>
            </w:r>
          </w:p>
        </w:tc>
      </w:tr>
      <w:tr w:rsidR="00F25C05" w:rsidTr="00F25C05">
        <w:tc>
          <w:tcPr>
            <w:tcW w:w="3511" w:type="dxa"/>
            <w:vMerge w:val="restart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Расходы на реализацию мероприятий по благоустройству поселения в рамках программного направления расходов</w:t>
            </w:r>
            <w:r w:rsidR="003C56CA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, прочая закупка товаров, работ и услуг</w:t>
            </w:r>
          </w:p>
        </w:tc>
        <w:tc>
          <w:tcPr>
            <w:tcW w:w="2409" w:type="dxa"/>
            <w:vMerge w:val="restart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Администрация Журавлёвского сельского поселения Симферопольского района Республики Крым</w:t>
            </w: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F25C05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1 710 589,00</w:t>
            </w:r>
          </w:p>
        </w:tc>
        <w:tc>
          <w:tcPr>
            <w:tcW w:w="1984" w:type="dxa"/>
          </w:tcPr>
          <w:p w:rsidR="00F25C05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1 835 162,00</w:t>
            </w:r>
          </w:p>
        </w:tc>
        <w:tc>
          <w:tcPr>
            <w:tcW w:w="1843" w:type="dxa"/>
          </w:tcPr>
          <w:p w:rsidR="00F25C05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1 529 028,00</w:t>
            </w: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в </w:t>
            </w:r>
            <w:proofErr w:type="spellStart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т.ч</w:t>
            </w:r>
            <w:proofErr w:type="spellEnd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 по отдельным источникам финансирования:</w:t>
            </w:r>
          </w:p>
        </w:tc>
        <w:tc>
          <w:tcPr>
            <w:tcW w:w="1985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Бюджет Республики Крым</w:t>
            </w:r>
          </w:p>
        </w:tc>
        <w:tc>
          <w:tcPr>
            <w:tcW w:w="1985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56CA" w:rsidTr="00F25C05">
        <w:tc>
          <w:tcPr>
            <w:tcW w:w="3511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56CA" w:rsidRPr="00F25C05" w:rsidRDefault="003C56CA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Журавлёвское</w:t>
            </w:r>
            <w:proofErr w:type="spellEnd"/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сельское поселение Симферопольского района Республики Крым</w:t>
            </w:r>
          </w:p>
        </w:tc>
        <w:tc>
          <w:tcPr>
            <w:tcW w:w="1985" w:type="dxa"/>
          </w:tcPr>
          <w:p w:rsidR="003C56CA" w:rsidRPr="00F25C05" w:rsidRDefault="003C56CA" w:rsidP="00955E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1 710 589,00</w:t>
            </w:r>
          </w:p>
        </w:tc>
        <w:tc>
          <w:tcPr>
            <w:tcW w:w="1984" w:type="dxa"/>
          </w:tcPr>
          <w:p w:rsidR="003C56CA" w:rsidRPr="00F25C05" w:rsidRDefault="003C56CA" w:rsidP="00955E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1 835 162,00</w:t>
            </w:r>
          </w:p>
        </w:tc>
        <w:tc>
          <w:tcPr>
            <w:tcW w:w="1843" w:type="dxa"/>
          </w:tcPr>
          <w:p w:rsidR="003C56CA" w:rsidRPr="00F25C05" w:rsidRDefault="003C56CA" w:rsidP="00955E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1 529 028,00</w:t>
            </w:r>
          </w:p>
        </w:tc>
      </w:tr>
      <w:tr w:rsidR="00F25C05" w:rsidTr="00F25C05">
        <w:tc>
          <w:tcPr>
            <w:tcW w:w="3511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25C05" w:rsidRPr="00F25C05" w:rsidRDefault="00F25C05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5C05" w:rsidRPr="00F25C05" w:rsidRDefault="00F25C05" w:rsidP="00F25C05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F25C0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25C05" w:rsidRPr="00F25C05" w:rsidRDefault="00F25C05" w:rsidP="00F2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56CA" w:rsidTr="00F25C05">
        <w:tc>
          <w:tcPr>
            <w:tcW w:w="3511" w:type="dxa"/>
            <w:vMerge w:val="restart"/>
          </w:tcPr>
          <w:p w:rsidR="003C56CA" w:rsidRPr="00F25C05" w:rsidRDefault="003C56CA" w:rsidP="003C56CA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 xml:space="preserve">Закупка энергетических ресурсов </w:t>
            </w:r>
          </w:p>
        </w:tc>
        <w:tc>
          <w:tcPr>
            <w:tcW w:w="2409" w:type="dxa"/>
            <w:vMerge w:val="restart"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3C56CA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Администрация Журавлёвского сельского поселения Симферопольского района Республики Крым</w:t>
            </w:r>
          </w:p>
        </w:tc>
        <w:tc>
          <w:tcPr>
            <w:tcW w:w="4111" w:type="dxa"/>
          </w:tcPr>
          <w:p w:rsidR="003C56CA" w:rsidRPr="003C56CA" w:rsidRDefault="003C56CA" w:rsidP="000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5" w:type="dxa"/>
          </w:tcPr>
          <w:p w:rsidR="003C56CA" w:rsidRPr="003C56CA" w:rsidRDefault="003C56CA" w:rsidP="009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550 000,00</w:t>
            </w:r>
          </w:p>
        </w:tc>
        <w:tc>
          <w:tcPr>
            <w:tcW w:w="1984" w:type="dxa"/>
          </w:tcPr>
          <w:p w:rsidR="003C56CA" w:rsidRPr="003C56CA" w:rsidRDefault="003C56CA" w:rsidP="009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843" w:type="dxa"/>
          </w:tcPr>
          <w:p w:rsidR="003C56CA" w:rsidRPr="003C56CA" w:rsidRDefault="003C56CA" w:rsidP="009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</w:tr>
      <w:tr w:rsidR="003C56CA" w:rsidTr="00F25C05">
        <w:tc>
          <w:tcPr>
            <w:tcW w:w="3511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56CA" w:rsidRPr="003C56CA" w:rsidRDefault="003C56CA" w:rsidP="000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. по отдельным источникам финансирования:</w:t>
            </w:r>
          </w:p>
        </w:tc>
        <w:tc>
          <w:tcPr>
            <w:tcW w:w="1985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CA" w:rsidTr="00F25C05">
        <w:tc>
          <w:tcPr>
            <w:tcW w:w="3511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56CA" w:rsidRPr="003C56CA" w:rsidRDefault="003C56CA" w:rsidP="000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56CA" w:rsidTr="00F25C05">
        <w:tc>
          <w:tcPr>
            <w:tcW w:w="3511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56CA" w:rsidRPr="003C56CA" w:rsidRDefault="003C56CA" w:rsidP="000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Бюджет Республики Крым</w:t>
            </w:r>
          </w:p>
        </w:tc>
        <w:tc>
          <w:tcPr>
            <w:tcW w:w="1985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56CA" w:rsidTr="00F25C05">
        <w:tc>
          <w:tcPr>
            <w:tcW w:w="3511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56CA" w:rsidRPr="003C56CA" w:rsidRDefault="003C56CA" w:rsidP="000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Журавлёвское</w:t>
            </w:r>
            <w:proofErr w:type="spellEnd"/>
            <w:r w:rsidRPr="003C56C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Симферопольского района Республики Крым</w:t>
            </w:r>
          </w:p>
        </w:tc>
        <w:tc>
          <w:tcPr>
            <w:tcW w:w="1985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550 000,00</w:t>
            </w:r>
          </w:p>
        </w:tc>
        <w:tc>
          <w:tcPr>
            <w:tcW w:w="1984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1843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</w:tr>
      <w:tr w:rsidR="003C56CA" w:rsidTr="00F25C05">
        <w:tc>
          <w:tcPr>
            <w:tcW w:w="3511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C56CA" w:rsidRPr="00F25C05" w:rsidRDefault="003C56CA" w:rsidP="005044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C56CA" w:rsidRPr="003C56CA" w:rsidRDefault="003C56CA" w:rsidP="000F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3C56CA" w:rsidRPr="003C56CA" w:rsidRDefault="003C56CA" w:rsidP="003C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504457" w:rsidRPr="00504457" w:rsidRDefault="00504457" w:rsidP="00F25C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</w:p>
    <w:sectPr w:rsidR="00504457" w:rsidRPr="00504457" w:rsidSect="00F25C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6A" w:rsidRDefault="006A5C6A" w:rsidP="00E1111A">
      <w:pPr>
        <w:spacing w:after="0" w:line="240" w:lineRule="auto"/>
      </w:pPr>
      <w:r>
        <w:separator/>
      </w:r>
    </w:p>
  </w:endnote>
  <w:endnote w:type="continuationSeparator" w:id="0">
    <w:p w:rsidR="006A5C6A" w:rsidRDefault="006A5C6A" w:rsidP="00E1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6A" w:rsidRDefault="006A5C6A" w:rsidP="00E1111A">
      <w:pPr>
        <w:spacing w:after="0" w:line="240" w:lineRule="auto"/>
      </w:pPr>
      <w:r>
        <w:separator/>
      </w:r>
    </w:p>
  </w:footnote>
  <w:footnote w:type="continuationSeparator" w:id="0">
    <w:p w:rsidR="006A5C6A" w:rsidRDefault="006A5C6A" w:rsidP="00E1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228"/>
    <w:multiLevelType w:val="hybridMultilevel"/>
    <w:tmpl w:val="B9C2D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D12DE"/>
    <w:multiLevelType w:val="hybridMultilevel"/>
    <w:tmpl w:val="AE4E8500"/>
    <w:lvl w:ilvl="0" w:tplc="D3BA3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730DE"/>
    <w:multiLevelType w:val="hybridMultilevel"/>
    <w:tmpl w:val="C368F650"/>
    <w:lvl w:ilvl="0" w:tplc="992CA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11B79"/>
    <w:multiLevelType w:val="multilevel"/>
    <w:tmpl w:val="6D18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DBC7337"/>
    <w:multiLevelType w:val="hybridMultilevel"/>
    <w:tmpl w:val="C23C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4"/>
    <w:rsid w:val="000B5580"/>
    <w:rsid w:val="000D365C"/>
    <w:rsid w:val="00107BB8"/>
    <w:rsid w:val="00112A78"/>
    <w:rsid w:val="00130C0A"/>
    <w:rsid w:val="00145E8D"/>
    <w:rsid w:val="00177AE4"/>
    <w:rsid w:val="001805C0"/>
    <w:rsid w:val="00186DD0"/>
    <w:rsid w:val="00193397"/>
    <w:rsid w:val="001A57CD"/>
    <w:rsid w:val="001A6AC5"/>
    <w:rsid w:val="0025123C"/>
    <w:rsid w:val="00297673"/>
    <w:rsid w:val="0029792D"/>
    <w:rsid w:val="002C1304"/>
    <w:rsid w:val="002C3837"/>
    <w:rsid w:val="002D07A8"/>
    <w:rsid w:val="002D0C8E"/>
    <w:rsid w:val="00353573"/>
    <w:rsid w:val="00357279"/>
    <w:rsid w:val="00393755"/>
    <w:rsid w:val="003A569E"/>
    <w:rsid w:val="003A681D"/>
    <w:rsid w:val="003C56CA"/>
    <w:rsid w:val="003D0DC2"/>
    <w:rsid w:val="003D421E"/>
    <w:rsid w:val="003F300F"/>
    <w:rsid w:val="004127D4"/>
    <w:rsid w:val="00476CA3"/>
    <w:rsid w:val="00492040"/>
    <w:rsid w:val="004B4876"/>
    <w:rsid w:val="00504457"/>
    <w:rsid w:val="00512369"/>
    <w:rsid w:val="00516F8F"/>
    <w:rsid w:val="005A6F87"/>
    <w:rsid w:val="005B623C"/>
    <w:rsid w:val="005D4263"/>
    <w:rsid w:val="005E37A5"/>
    <w:rsid w:val="006265FB"/>
    <w:rsid w:val="00636D9C"/>
    <w:rsid w:val="00652677"/>
    <w:rsid w:val="006601C6"/>
    <w:rsid w:val="00667F53"/>
    <w:rsid w:val="00684E84"/>
    <w:rsid w:val="006A5C6A"/>
    <w:rsid w:val="006B37CD"/>
    <w:rsid w:val="0071202F"/>
    <w:rsid w:val="00776886"/>
    <w:rsid w:val="007A6F00"/>
    <w:rsid w:val="007F0453"/>
    <w:rsid w:val="00821F11"/>
    <w:rsid w:val="00826480"/>
    <w:rsid w:val="00845A71"/>
    <w:rsid w:val="00845C07"/>
    <w:rsid w:val="0086269B"/>
    <w:rsid w:val="00870820"/>
    <w:rsid w:val="00883123"/>
    <w:rsid w:val="00890FA7"/>
    <w:rsid w:val="008D18B3"/>
    <w:rsid w:val="00921D23"/>
    <w:rsid w:val="0096620D"/>
    <w:rsid w:val="00966430"/>
    <w:rsid w:val="00971E0E"/>
    <w:rsid w:val="009738F7"/>
    <w:rsid w:val="0098023E"/>
    <w:rsid w:val="00984D8F"/>
    <w:rsid w:val="00995A5E"/>
    <w:rsid w:val="009C5CE2"/>
    <w:rsid w:val="009C7478"/>
    <w:rsid w:val="009D7B34"/>
    <w:rsid w:val="009E1C88"/>
    <w:rsid w:val="009F5CDA"/>
    <w:rsid w:val="00A534D7"/>
    <w:rsid w:val="00A9031F"/>
    <w:rsid w:val="00AC68CF"/>
    <w:rsid w:val="00AE3638"/>
    <w:rsid w:val="00B32723"/>
    <w:rsid w:val="00B7538E"/>
    <w:rsid w:val="00BE1C73"/>
    <w:rsid w:val="00BF36CC"/>
    <w:rsid w:val="00C0256A"/>
    <w:rsid w:val="00C218C8"/>
    <w:rsid w:val="00C32FA0"/>
    <w:rsid w:val="00C37EFB"/>
    <w:rsid w:val="00C77574"/>
    <w:rsid w:val="00C87231"/>
    <w:rsid w:val="00C87C20"/>
    <w:rsid w:val="00C9101C"/>
    <w:rsid w:val="00D15DEB"/>
    <w:rsid w:val="00D41ABC"/>
    <w:rsid w:val="00D834B7"/>
    <w:rsid w:val="00D83604"/>
    <w:rsid w:val="00DB3305"/>
    <w:rsid w:val="00DB40B5"/>
    <w:rsid w:val="00DD1307"/>
    <w:rsid w:val="00DE0D0E"/>
    <w:rsid w:val="00E1111A"/>
    <w:rsid w:val="00E14104"/>
    <w:rsid w:val="00E43E1C"/>
    <w:rsid w:val="00E77BA7"/>
    <w:rsid w:val="00E97D73"/>
    <w:rsid w:val="00EC6D4D"/>
    <w:rsid w:val="00ED056B"/>
    <w:rsid w:val="00EE3FCD"/>
    <w:rsid w:val="00F25C05"/>
    <w:rsid w:val="00F57264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0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A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111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111A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C8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0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A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111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111A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C8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upload.wikimedia.org/wikipedia/commons/thumb/c/c8/Emblem_of_Crimea.svg/200px-Emblem_of_Crimea.svg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2AC1-3AE6-42B5-9974-1E1B2C10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Администрация</cp:lastModifiedBy>
  <cp:revision>3</cp:revision>
  <cp:lastPrinted>2024-10-10T06:05:00Z</cp:lastPrinted>
  <dcterms:created xsi:type="dcterms:W3CDTF">2025-10-14T08:49:00Z</dcterms:created>
  <dcterms:modified xsi:type="dcterms:W3CDTF">2025-10-14T09:39:00Z</dcterms:modified>
</cp:coreProperties>
</file>